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7BB" w:rsidRPr="004915E6" w:rsidRDefault="00995504" w:rsidP="004915E6">
      <w:pPr>
        <w:jc w:val="right"/>
        <w:rPr>
          <w:rFonts w:ascii="Segoe UI" w:eastAsia="Times New Roman" w:hAnsi="Segoe UI" w:cs="Segoe UI"/>
          <w:b/>
          <w:color w:val="000000"/>
          <w:sz w:val="28"/>
          <w:szCs w:val="28"/>
        </w:rPr>
      </w:pPr>
      <w:r w:rsidRPr="00995504">
        <w:rPr>
          <w:rFonts w:ascii="Segoe UI" w:eastAsia="Times New Roman" w:hAnsi="Segoe UI" w:cs="Segoe UI"/>
          <w:b/>
          <w:color w:val="000000"/>
          <w:sz w:val="28"/>
          <w:szCs w:val="28"/>
        </w:rPr>
        <w:t>ПРЕСС-РЕЛИЗ</w:t>
      </w:r>
    </w:p>
    <w:p w:rsidR="004915E6" w:rsidRPr="004915E6" w:rsidRDefault="004915E6" w:rsidP="004915E6">
      <w:pPr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b/>
          <w:color w:val="000000"/>
          <w:sz w:val="24"/>
          <w:szCs w:val="24"/>
        </w:rPr>
      </w:pPr>
      <w:r>
        <w:rPr>
          <w:rFonts w:ascii="Segoe UI" w:eastAsia="Times New Roman" w:hAnsi="Segoe UI" w:cs="Segoe UI"/>
          <w:b/>
          <w:color w:val="000000"/>
          <w:sz w:val="32"/>
          <w:szCs w:val="24"/>
        </w:rPr>
        <w:t xml:space="preserve"> </w:t>
      </w:r>
      <w:r w:rsidRPr="004915E6">
        <w:rPr>
          <w:rFonts w:ascii="Segoe UI" w:eastAsia="Times New Roman" w:hAnsi="Segoe UI" w:cs="Segoe UI"/>
          <w:b/>
          <w:color w:val="000000"/>
          <w:sz w:val="32"/>
          <w:szCs w:val="24"/>
        </w:rPr>
        <w:t>Количество</w:t>
      </w:r>
      <w:r>
        <w:rPr>
          <w:rFonts w:ascii="Segoe UI" w:eastAsia="Times New Roman" w:hAnsi="Segoe UI" w:cs="Segoe UI"/>
          <w:b/>
          <w:color w:val="000000"/>
          <w:sz w:val="32"/>
          <w:szCs w:val="24"/>
        </w:rPr>
        <w:t xml:space="preserve"> </w:t>
      </w:r>
      <w:r w:rsidRPr="004915E6">
        <w:rPr>
          <w:rFonts w:ascii="Segoe UI" w:eastAsia="Times New Roman" w:hAnsi="Segoe UI" w:cs="Segoe UI"/>
          <w:b/>
          <w:color w:val="000000"/>
          <w:sz w:val="32"/>
          <w:szCs w:val="24"/>
        </w:rPr>
        <w:t>поступивших</w:t>
      </w:r>
      <w:r>
        <w:rPr>
          <w:rFonts w:ascii="Segoe UI" w:eastAsia="Times New Roman" w:hAnsi="Segoe UI" w:cs="Segoe UI"/>
          <w:b/>
          <w:color w:val="000000"/>
          <w:sz w:val="32"/>
          <w:szCs w:val="24"/>
        </w:rPr>
        <w:t xml:space="preserve"> </w:t>
      </w:r>
      <w:r w:rsidRPr="004915E6">
        <w:rPr>
          <w:rFonts w:ascii="Segoe UI" w:eastAsia="Times New Roman" w:hAnsi="Segoe UI" w:cs="Segoe UI"/>
          <w:b/>
          <w:color w:val="000000"/>
          <w:sz w:val="32"/>
          <w:szCs w:val="24"/>
        </w:rPr>
        <w:t>межведомственных</w:t>
      </w:r>
      <w:r>
        <w:rPr>
          <w:rFonts w:ascii="Segoe UI" w:eastAsia="Times New Roman" w:hAnsi="Segoe UI" w:cs="Segoe UI"/>
          <w:b/>
          <w:color w:val="000000"/>
          <w:sz w:val="32"/>
          <w:szCs w:val="24"/>
        </w:rPr>
        <w:t xml:space="preserve"> </w:t>
      </w:r>
      <w:r w:rsidRPr="004915E6">
        <w:rPr>
          <w:rFonts w:ascii="Segoe UI" w:eastAsia="Times New Roman" w:hAnsi="Segoe UI" w:cs="Segoe UI"/>
          <w:b/>
          <w:color w:val="000000"/>
          <w:sz w:val="32"/>
          <w:szCs w:val="24"/>
        </w:rPr>
        <w:t>запросов</w:t>
      </w:r>
      <w:r>
        <w:rPr>
          <w:rFonts w:ascii="Segoe UI" w:eastAsia="Times New Roman" w:hAnsi="Segoe UI" w:cs="Segoe UI"/>
          <w:b/>
          <w:color w:val="000000"/>
          <w:sz w:val="32"/>
          <w:szCs w:val="24"/>
        </w:rPr>
        <w:t xml:space="preserve"> </w:t>
      </w:r>
      <w:r w:rsidRPr="004915E6">
        <w:rPr>
          <w:rFonts w:ascii="Segoe UI" w:eastAsia="Times New Roman" w:hAnsi="Segoe UI" w:cs="Segoe UI"/>
          <w:b/>
          <w:color w:val="000000"/>
          <w:sz w:val="32"/>
          <w:szCs w:val="24"/>
        </w:rPr>
        <w:t>на</w:t>
      </w:r>
      <w:r>
        <w:rPr>
          <w:rFonts w:ascii="Segoe UI" w:eastAsia="Times New Roman" w:hAnsi="Segoe UI" w:cs="Segoe UI"/>
          <w:b/>
          <w:color w:val="000000"/>
          <w:sz w:val="32"/>
          <w:szCs w:val="24"/>
        </w:rPr>
        <w:t xml:space="preserve"> </w:t>
      </w:r>
      <w:r w:rsidRPr="004915E6">
        <w:rPr>
          <w:rFonts w:ascii="Segoe UI" w:eastAsia="Times New Roman" w:hAnsi="Segoe UI" w:cs="Segoe UI"/>
          <w:b/>
          <w:color w:val="000000"/>
          <w:sz w:val="32"/>
          <w:szCs w:val="24"/>
        </w:rPr>
        <w:t>бумажном</w:t>
      </w:r>
      <w:r>
        <w:rPr>
          <w:rFonts w:ascii="Segoe UI" w:eastAsia="Times New Roman" w:hAnsi="Segoe UI" w:cs="Segoe UI"/>
          <w:b/>
          <w:color w:val="000000"/>
          <w:sz w:val="32"/>
          <w:szCs w:val="24"/>
        </w:rPr>
        <w:t xml:space="preserve"> </w:t>
      </w:r>
      <w:r w:rsidRPr="004915E6">
        <w:rPr>
          <w:rFonts w:ascii="Segoe UI" w:eastAsia="Times New Roman" w:hAnsi="Segoe UI" w:cs="Segoe UI"/>
          <w:b/>
          <w:color w:val="000000"/>
          <w:sz w:val="32"/>
          <w:szCs w:val="24"/>
        </w:rPr>
        <w:t>носителе</w:t>
      </w:r>
      <w:r>
        <w:rPr>
          <w:rFonts w:ascii="Segoe UI" w:eastAsia="Times New Roman" w:hAnsi="Segoe UI" w:cs="Segoe UI"/>
          <w:b/>
          <w:color w:val="000000"/>
          <w:sz w:val="32"/>
          <w:szCs w:val="24"/>
        </w:rPr>
        <w:t xml:space="preserve"> </w:t>
      </w:r>
      <w:r w:rsidRPr="004915E6">
        <w:rPr>
          <w:rFonts w:ascii="Segoe UI" w:eastAsia="Times New Roman" w:hAnsi="Segoe UI" w:cs="Segoe UI"/>
          <w:b/>
          <w:color w:val="000000"/>
          <w:sz w:val="32"/>
          <w:szCs w:val="24"/>
        </w:rPr>
        <w:t>сократилось</w:t>
      </w:r>
      <w:r>
        <w:rPr>
          <w:rFonts w:ascii="Segoe UI" w:eastAsia="Times New Roman" w:hAnsi="Segoe UI" w:cs="Segoe UI"/>
          <w:b/>
          <w:color w:val="000000"/>
          <w:sz w:val="32"/>
          <w:szCs w:val="24"/>
        </w:rPr>
        <w:t xml:space="preserve"> </w:t>
      </w:r>
      <w:r w:rsidRPr="004915E6">
        <w:rPr>
          <w:rFonts w:ascii="Segoe UI" w:eastAsia="Times New Roman" w:hAnsi="Segoe UI" w:cs="Segoe UI"/>
          <w:b/>
          <w:color w:val="000000"/>
          <w:sz w:val="32"/>
          <w:szCs w:val="24"/>
        </w:rPr>
        <w:t>в</w:t>
      </w:r>
      <w:r>
        <w:rPr>
          <w:rFonts w:ascii="Segoe UI" w:eastAsia="Times New Roman" w:hAnsi="Segoe UI" w:cs="Segoe UI"/>
          <w:b/>
          <w:color w:val="000000"/>
          <w:sz w:val="32"/>
          <w:szCs w:val="24"/>
        </w:rPr>
        <w:t xml:space="preserve"> </w:t>
      </w:r>
      <w:r w:rsidRPr="004915E6">
        <w:rPr>
          <w:rFonts w:ascii="Segoe UI" w:eastAsia="Times New Roman" w:hAnsi="Segoe UI" w:cs="Segoe UI"/>
          <w:b/>
          <w:color w:val="000000"/>
          <w:sz w:val="32"/>
          <w:szCs w:val="24"/>
        </w:rPr>
        <w:t>20</w:t>
      </w:r>
      <w:r>
        <w:rPr>
          <w:rFonts w:ascii="Segoe UI" w:eastAsia="Times New Roman" w:hAnsi="Segoe UI" w:cs="Segoe UI"/>
          <w:b/>
          <w:color w:val="000000"/>
          <w:sz w:val="32"/>
          <w:szCs w:val="24"/>
        </w:rPr>
        <w:t xml:space="preserve"> </w:t>
      </w:r>
      <w:r w:rsidRPr="004915E6">
        <w:rPr>
          <w:rFonts w:ascii="Segoe UI" w:eastAsia="Times New Roman" w:hAnsi="Segoe UI" w:cs="Segoe UI"/>
          <w:b/>
          <w:color w:val="000000"/>
          <w:sz w:val="32"/>
          <w:szCs w:val="24"/>
        </w:rPr>
        <w:t>раз</w:t>
      </w:r>
    </w:p>
    <w:p w:rsidR="004915E6" w:rsidRPr="004915E6" w:rsidRDefault="004915E6" w:rsidP="004915E6">
      <w:pPr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4915E6">
        <w:rPr>
          <w:rFonts w:ascii="Segoe UI" w:eastAsia="Times New Roman" w:hAnsi="Segoe UI" w:cs="Segoe UI"/>
          <w:b/>
          <w:noProof/>
          <w:color w:val="000000"/>
          <w:sz w:val="32"/>
          <w:szCs w:val="24"/>
        </w:rPr>
        <w:drawing>
          <wp:anchor distT="0" distB="0" distL="114300" distR="114300" simplePos="0" relativeHeight="251659264" behindDoc="0" locked="0" layoutInCell="1" allowOverlap="1" wp14:anchorId="39947AD7" wp14:editId="103954BD">
            <wp:simplePos x="0" y="0"/>
            <wp:positionH relativeFrom="column">
              <wp:posOffset>-102870</wp:posOffset>
            </wp:positionH>
            <wp:positionV relativeFrom="paragraph">
              <wp:posOffset>207010</wp:posOffset>
            </wp:positionV>
            <wp:extent cx="2984500" cy="1468120"/>
            <wp:effectExtent l="0" t="0" r="635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+ филиал 01-05a логотип варианты03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77" t="19175" r="9808" b="26682"/>
                    <a:stretch/>
                  </pic:blipFill>
                  <pic:spPr bwMode="auto">
                    <a:xfrm>
                      <a:off x="0" y="0"/>
                      <a:ext cx="2984500" cy="1468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915E6" w:rsidRPr="004915E6" w:rsidRDefault="004915E6" w:rsidP="004915E6">
      <w:pPr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Росреестр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его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территориальные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органы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взаимодействуют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с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федеральными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органами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исполнительной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власти,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региональными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муниципальными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органами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власти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в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соответствии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с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Федеральным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законом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от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13.07.2015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№218-ФЗ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«О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государственной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регистрации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недвижимости»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на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основе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межведомственного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взаимодействия.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Оно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представляет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собой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обмен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документами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информацией,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в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том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числе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в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электронной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форме,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между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органами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власти,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органами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государственных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внебюджетных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фондов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в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целях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предоставления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гражданам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организациям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государственных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муниципальных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услуг.</w:t>
      </w:r>
    </w:p>
    <w:p w:rsidR="004915E6" w:rsidRPr="004915E6" w:rsidRDefault="004915E6" w:rsidP="004915E6">
      <w:pPr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Такое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взаимодействие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ведомств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освобождает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граждан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от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необходимости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самостоятельно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собирать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документы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для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получения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государственных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услуг.</w:t>
      </w:r>
    </w:p>
    <w:p w:rsidR="004915E6" w:rsidRPr="004915E6" w:rsidRDefault="004915E6" w:rsidP="004915E6">
      <w:pPr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Сведения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могут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быть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предоставлены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в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форме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электронного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документа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или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документа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на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бумажном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носителе.</w:t>
      </w:r>
    </w:p>
    <w:p w:rsidR="004915E6" w:rsidRPr="004915E6" w:rsidRDefault="004915E6" w:rsidP="004915E6">
      <w:pPr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Для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целей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электронного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документооборота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создана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Система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межведомственного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электронного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взаимодействия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(СМЭВ)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–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информационный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ресурс,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содержащий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базы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данных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всех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подключенных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к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нему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органов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власти.</w:t>
      </w:r>
    </w:p>
    <w:p w:rsidR="004915E6" w:rsidRPr="004915E6" w:rsidRDefault="004915E6" w:rsidP="004915E6">
      <w:pPr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Согласно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статистическим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данным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за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2018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год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Кадастровой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палатой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Краснодарского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края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посредством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системы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межведомственного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информационного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взаимодействия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было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получено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1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млн.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363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тыс.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запросов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о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предоставлении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сведений,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содержащихся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в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ЕГРН,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из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них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1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млн.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336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тыс.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(98%)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–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в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электронном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виде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при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использовании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СМЭВ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официального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сайта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Росреестра.</w:t>
      </w:r>
    </w:p>
    <w:p w:rsidR="004915E6" w:rsidRPr="004915E6" w:rsidRDefault="004915E6" w:rsidP="004915E6">
      <w:pPr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При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этом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количество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поступивших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межведомственных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запросов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на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бумажном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носителе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сократилось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в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20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раз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с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581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тыс.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до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27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тыс.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запросов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по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сравнению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с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2017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годом.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 </w:t>
      </w:r>
    </w:p>
    <w:p w:rsidR="00311355" w:rsidRPr="004915E6" w:rsidRDefault="004915E6" w:rsidP="004915E6">
      <w:pPr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Поскольку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одной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из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главных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задач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Росреестра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является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увеличение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уровня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эффективности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результативности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процедур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по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государственной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регистрации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недвижимости,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сокращение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сроков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снижение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административных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барьеров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при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предоставлении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государственных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услуг,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приоритетной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формой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межведомственного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информационного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обмена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является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электронный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915E6">
        <w:rPr>
          <w:rFonts w:ascii="Segoe UI" w:eastAsia="Times New Roman" w:hAnsi="Segoe UI" w:cs="Segoe UI"/>
          <w:color w:val="000000"/>
          <w:sz w:val="24"/>
          <w:szCs w:val="24"/>
        </w:rPr>
        <w:t>документооборот.</w:t>
      </w:r>
      <w:bookmarkStart w:id="0" w:name="_GoBack"/>
      <w:bookmarkEnd w:id="0"/>
    </w:p>
    <w:p w:rsidR="00EB6B10" w:rsidRDefault="004915E6" w:rsidP="00661472">
      <w:pPr>
        <w:spacing w:before="100" w:beforeAutospacing="1" w:after="100" w:afterAutospacing="1" w:line="0" w:lineRule="atLeast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_________________</w:t>
      </w:r>
      <w:r w:rsidR="004E66AB" w:rsidRPr="007C54E3">
        <w:rPr>
          <w:rFonts w:ascii="Segoe UI" w:eastAsia="Times New Roman" w:hAnsi="Segoe UI" w:cs="Segoe UI"/>
          <w:color w:val="000000"/>
          <w:sz w:val="24"/>
          <w:szCs w:val="24"/>
        </w:rPr>
        <w:t>_________________________________________________________________________________</w:t>
      </w:r>
    </w:p>
    <w:p w:rsidR="00EB6B10" w:rsidRDefault="00EB6B10" w:rsidP="00EB6B10">
      <w:pPr>
        <w:spacing w:before="100" w:beforeAutospacing="1" w:after="100" w:afterAutospacing="1" w:line="0" w:lineRule="atLeast"/>
        <w:contextualSpacing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Пресс-служба</w:t>
      </w:r>
      <w:r w:rsidR="004915E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филиала</w:t>
      </w:r>
      <w:r w:rsidR="004915E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ФГБУ</w:t>
      </w:r>
      <w:r w:rsidR="004915E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«ФКП</w:t>
      </w:r>
      <w:r w:rsidR="004915E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Росреестра»</w:t>
      </w:r>
      <w:r w:rsidR="004915E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по</w:t>
      </w:r>
      <w:r w:rsidR="004915E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Краснодарскому</w:t>
      </w:r>
      <w:r w:rsidR="004915E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краю</w:t>
      </w:r>
    </w:p>
    <w:p w:rsidR="00995504" w:rsidRDefault="00995504"/>
    <w:sectPr w:rsidR="00995504" w:rsidSect="00EB6B1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D0878"/>
    <w:multiLevelType w:val="multilevel"/>
    <w:tmpl w:val="22EE7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3D4AD8"/>
    <w:multiLevelType w:val="multilevel"/>
    <w:tmpl w:val="245AF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71147D"/>
    <w:multiLevelType w:val="multilevel"/>
    <w:tmpl w:val="512A0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алацан Светлана Ивановна">
    <w15:presenceInfo w15:providerId="AD" w15:userId="S-1-5-21-20220458-222927209-220409127-61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504"/>
    <w:rsid w:val="0001449E"/>
    <w:rsid w:val="000A7769"/>
    <w:rsid w:val="001437BB"/>
    <w:rsid w:val="001617DC"/>
    <w:rsid w:val="00174B41"/>
    <w:rsid w:val="00233C2B"/>
    <w:rsid w:val="002B5088"/>
    <w:rsid w:val="00311355"/>
    <w:rsid w:val="003575E3"/>
    <w:rsid w:val="003949CA"/>
    <w:rsid w:val="003A5632"/>
    <w:rsid w:val="003C54EC"/>
    <w:rsid w:val="004915E6"/>
    <w:rsid w:val="004E66AB"/>
    <w:rsid w:val="005538DC"/>
    <w:rsid w:val="005C4999"/>
    <w:rsid w:val="005D7ED1"/>
    <w:rsid w:val="005E141E"/>
    <w:rsid w:val="005F0BDC"/>
    <w:rsid w:val="00657062"/>
    <w:rsid w:val="00661472"/>
    <w:rsid w:val="006619EB"/>
    <w:rsid w:val="007767E0"/>
    <w:rsid w:val="007A0F82"/>
    <w:rsid w:val="007C54E3"/>
    <w:rsid w:val="007D21A4"/>
    <w:rsid w:val="00814C59"/>
    <w:rsid w:val="00837F78"/>
    <w:rsid w:val="009567E7"/>
    <w:rsid w:val="00995504"/>
    <w:rsid w:val="009F3EBB"/>
    <w:rsid w:val="00A235A7"/>
    <w:rsid w:val="00A81E0C"/>
    <w:rsid w:val="00AC4D32"/>
    <w:rsid w:val="00B50B1E"/>
    <w:rsid w:val="00C13A47"/>
    <w:rsid w:val="00C77B66"/>
    <w:rsid w:val="00CF4126"/>
    <w:rsid w:val="00E07771"/>
    <w:rsid w:val="00E806F2"/>
    <w:rsid w:val="00EA3527"/>
    <w:rsid w:val="00EB030A"/>
    <w:rsid w:val="00EB6B10"/>
    <w:rsid w:val="00EF44E6"/>
    <w:rsid w:val="00F2392F"/>
    <w:rsid w:val="00F66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1617DC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1617D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FFE31-8D6B-4ECF-9E10-577E70F9E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user2066</dc:creator>
  <cp:keywords/>
  <cp:lastModifiedBy>Силич Виктория Сергеевна</cp:lastModifiedBy>
  <cp:revision>10</cp:revision>
  <dcterms:created xsi:type="dcterms:W3CDTF">2018-11-22T07:48:00Z</dcterms:created>
  <dcterms:modified xsi:type="dcterms:W3CDTF">2019-03-04T14:28:00Z</dcterms:modified>
</cp:coreProperties>
</file>