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B15F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B15FA4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</w:t>
      </w:r>
      <w:r w:rsidR="00CF2584">
        <w:rPr>
          <w:rFonts w:ascii="Times New Roman" w:hAnsi="Times New Roman" w:cs="Times New Roman"/>
          <w:sz w:val="28"/>
          <w:szCs w:val="28"/>
        </w:rPr>
        <w:t>, находящегося в государственной и муниципальной собственности</w:t>
      </w:r>
      <w:proofErr w:type="gramEnd"/>
      <w:r w:rsidR="00CF2584">
        <w:rPr>
          <w:rFonts w:ascii="Times New Roman" w:hAnsi="Times New Roman" w:cs="Times New Roman"/>
          <w:sz w:val="28"/>
          <w:szCs w:val="28"/>
        </w:rPr>
        <w:t xml:space="preserve"> без торгов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CF2584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 государственной и муниципальной собственности без торгов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6780D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CF2584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 государственной и муниципальной собственности без торгов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2023-04-25T10:14:00Z</cp:lastPrinted>
  <dcterms:created xsi:type="dcterms:W3CDTF">2023-04-25T10:14:00Z</dcterms:created>
  <dcterms:modified xsi:type="dcterms:W3CDTF">2023-04-25T10:14:00Z</dcterms:modified>
</cp:coreProperties>
</file>